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80"/>
        <w:ind w:left="100"/>
        <w:rPr>
          <w:b/>
        </w:rPr>
      </w:pPr>
      <w:r>
        <w:rPr/>
        <w:t>Speaking Challenge #3 — Speech to </w:t>
      </w:r>
      <w:r>
        <w:rPr>
          <w:b/>
        </w:rPr>
        <w:t>Persuade</w:t>
      </w:r>
    </w:p>
    <w:p>
      <w:pPr>
        <w:pStyle w:val="BodyText"/>
        <w:spacing w:before="127"/>
        <w:ind w:left="213" w:right="7695"/>
      </w:pPr>
      <w:r>
        <w:rPr/>
        <w:t>Kristen Gustavson COMM 101</w:t>
      </w:r>
    </w:p>
    <w:p>
      <w:pPr>
        <w:pStyle w:val="BodyText"/>
        <w:ind w:left="213"/>
      </w:pPr>
      <w:r>
        <w:rPr/>
        <w:t>Speech to (Persuade)</w:t>
      </w:r>
    </w:p>
    <w:p>
      <w:pPr>
        <w:pStyle w:val="BodyText"/>
        <w:rPr>
          <w:sz w:val="20"/>
        </w:rPr>
      </w:pPr>
    </w:p>
    <w:p>
      <w:pPr>
        <w:pStyle w:val="BodyText"/>
        <w:spacing w:before="7"/>
        <w:rPr>
          <w:sz w:val="18"/>
        </w:rPr>
      </w:pPr>
      <w:r>
        <w:rPr/>
        <w:pict>
          <v:group style="position:absolute;margin-left:233.849991pt;margin-top:12.664021pt;width:132pt;height:1.150pt;mso-position-horizontal-relative:page;mso-position-vertical-relative:paragraph;z-index:-1024;mso-wrap-distance-left:0;mso-wrap-distance-right:0" coordorigin="4677,253" coordsize="2640,23">
            <v:line style="position:absolute" from="4677,269" to="7317,269" stroked="true" strokeweight=".693pt" strokecolor="#000000">
              <v:stroke dashstyle="solid"/>
            </v:line>
            <v:line style="position:absolute" from="4677,264" to="7317,264" stroked="true" strokeweight="1.1pt" strokecolor="#000000">
              <v:stroke dashstyle="solid"/>
            </v:line>
            <w10:wrap type="topAndBottom"/>
          </v:group>
        </w:pict>
      </w:r>
    </w:p>
    <w:p>
      <w:pPr>
        <w:pStyle w:val="Heading1"/>
        <w:spacing w:line="224" w:lineRule="exact"/>
        <w:ind w:left="4302" w:right="4545"/>
        <w:jc w:val="center"/>
      </w:pPr>
      <w:r>
        <w:rPr/>
        <w:t>TITLE</w:t>
      </w:r>
    </w:p>
    <w:p>
      <w:pPr>
        <w:pStyle w:val="BodyText"/>
        <w:rPr>
          <w:b/>
        </w:rPr>
      </w:pPr>
    </w:p>
    <w:p>
      <w:pPr>
        <w:spacing w:before="0"/>
        <w:ind w:left="100" w:right="0" w:firstLine="0"/>
        <w:jc w:val="left"/>
        <w:rPr>
          <w:b/>
          <w:sz w:val="22"/>
        </w:rPr>
      </w:pPr>
      <w:r>
        <w:rPr>
          <w:b/>
          <w:sz w:val="22"/>
        </w:rPr>
        <w:t>Attention Grabber:</w:t>
      </w:r>
    </w:p>
    <w:p>
      <w:pPr>
        <w:pStyle w:val="BodyText"/>
        <w:ind w:left="100" w:right="148"/>
      </w:pPr>
      <w:r>
        <w:rPr/>
        <w:t>At the current rate, it’ll take 217 years to close the economic gender gap. Just think – if nothing changes, true equality in the workplace won’t be reached until the year 2234. Only then will women have the same earning and leadership potential as men. Sounds like a good reason to speed up the rate of progress.</w:t>
      </w:r>
    </w:p>
    <w:p>
      <w:pPr>
        <w:pStyle w:val="BodyText"/>
      </w:pPr>
    </w:p>
    <w:p>
      <w:pPr>
        <w:pStyle w:val="BodyText"/>
        <w:ind w:left="100" w:right="135"/>
      </w:pPr>
      <w:r>
        <w:rPr>
          <w:b/>
        </w:rPr>
        <w:t>Thesis/Preview: </w:t>
      </w:r>
      <w:r>
        <w:rPr/>
        <w:t>I will inform my audience of what the Paycheck Fairness Act is and why it is being proposed. We will then look at (1) workplace discrimination against women and (2) the argument that the Paycheck Fairness Act allows for frivolous lawsuits.</w:t>
      </w:r>
    </w:p>
    <w:p>
      <w:pPr>
        <w:pStyle w:val="BodyText"/>
        <w:rPr>
          <w:sz w:val="24"/>
        </w:rPr>
      </w:pPr>
    </w:p>
    <w:p>
      <w:pPr>
        <w:pStyle w:val="BodyText"/>
        <w:ind w:left="100" w:right="148"/>
      </w:pPr>
      <w:r>
        <w:rPr>
          <w:b/>
        </w:rPr>
        <w:t>Introduction to body of your speech: </w:t>
      </w:r>
      <w:r>
        <w:rPr/>
        <w:t>The Paycheck Fairness Act is a proposed United States labor law that would add procedural protections to the Equal Pay Act of 1963 and the Fair Labor Standards Act as part of an effort to address the gender pay gap in the United States. The Paycheck Fairness Act was first proposed in 2007. It was approved by the house in 2009 but not acted on in the Senate. The bill was brought up again in 2011 by the Obama Administration but was rejected again.</w:t>
      </w:r>
    </w:p>
    <w:p>
      <w:pPr>
        <w:pStyle w:val="BodyText"/>
      </w:pPr>
    </w:p>
    <w:p>
      <w:pPr>
        <w:pStyle w:val="Heading1"/>
      </w:pPr>
      <w:r>
        <w:rPr/>
        <w:t>Transition to Body of your Speech:</w:t>
      </w:r>
    </w:p>
    <w:p>
      <w:pPr>
        <w:pStyle w:val="BodyText"/>
        <w:ind w:left="100"/>
      </w:pPr>
      <w:r>
        <w:rPr/>
        <w:t>The first area we are going to look at is workplace discrimination.</w:t>
      </w:r>
    </w:p>
    <w:p>
      <w:pPr>
        <w:pStyle w:val="BodyText"/>
      </w:pPr>
    </w:p>
    <w:p>
      <w:pPr>
        <w:pStyle w:val="BodyText"/>
        <w:ind w:left="100"/>
      </w:pPr>
      <w:r>
        <w:rPr>
          <w:b/>
        </w:rPr>
        <w:t>Main Point #1: </w:t>
      </w:r>
      <w:r>
        <w:rPr/>
        <w:t>The wage gap is mostly due to individual choices made by women, not discrimination.</w:t>
      </w:r>
    </w:p>
    <w:p>
      <w:pPr>
        <w:pStyle w:val="BodyText"/>
      </w:pPr>
    </w:p>
    <w:p>
      <w:pPr>
        <w:pStyle w:val="BodyText"/>
        <w:ind w:left="100" w:right="861"/>
      </w:pPr>
      <w:r>
        <w:rPr/>
        <w:t>State Point You will Refute: Some argue it is already illegal to discriminate against women in the workplace.</w:t>
      </w:r>
    </w:p>
    <w:p>
      <w:pPr>
        <w:pStyle w:val="BodyText"/>
      </w:pPr>
    </w:p>
    <w:p>
      <w:pPr>
        <w:pStyle w:val="BodyText"/>
        <w:spacing w:line="480" w:lineRule="auto"/>
        <w:ind w:left="100" w:right="1689"/>
      </w:pPr>
      <w:r>
        <w:rPr/>
        <w:t>Tell How you will Refute it: I will show through evidence how this still happens. Present Evidence:</w:t>
      </w:r>
    </w:p>
    <w:p>
      <w:pPr>
        <w:pStyle w:val="BodyText"/>
        <w:ind w:left="820" w:right="301"/>
      </w:pPr>
      <w:r>
        <w:rPr/>
        <w:t>In a </w:t>
      </w:r>
      <w:r>
        <w:rPr>
          <w:shd w:fill="FFFF00" w:color="auto" w:val="clear"/>
        </w:rPr>
        <w:t>2014 hearing of the Committee on Health, Education, Labor and Pensions</w:t>
      </w:r>
      <w:r>
        <w:rPr/>
        <w:t>, Kerri Sleeman, began working at an engineering company in Michigan in 1998. When she was offered the position, they told her that the company did not negotiate salaries. She took the job and worked there for 5 years as a design supervisor. She managed several other workers, mostly males. She always received glowing reviews. Her company, an automotive supplier, was forced into bankruptcy in 2003. Not only was she out of a job, but the employees of the company had to go through bankruptcy court to get their final paychecks and back vacation pay. She signed up to receive updates about the court’s list of claims and was stunned by what she found. All the men she had been supervising while at the company were paid more than her.</w:t>
      </w:r>
    </w:p>
    <w:p>
      <w:pPr>
        <w:pStyle w:val="BodyText"/>
        <w:spacing w:before="1"/>
        <w:rPr>
          <w:sz w:val="14"/>
        </w:rPr>
      </w:pPr>
    </w:p>
    <w:p>
      <w:pPr>
        <w:pStyle w:val="BodyText"/>
        <w:spacing w:before="91"/>
        <w:ind w:left="820" w:right="155"/>
      </w:pPr>
      <w:r>
        <w:rPr/>
        <w:t>In the </w:t>
      </w:r>
      <w:r>
        <w:rPr>
          <w:shd w:fill="FFFF00" w:color="auto" w:val="clear"/>
        </w:rPr>
        <w:t>same hearing</w:t>
      </w:r>
      <w:r>
        <w:rPr/>
        <w:t>, ReShonda Young serves as operations manager and corporate vice president for two family businesses based in Waterloo, IA. Alpha Express is a transportation and delivery company that hauls parts—machine parts, farm equipment—across the United States and into Canada, and Alpha Services is a contracting business that provides maintenance services to companies like John Deere. My father started the company 25 years ago and now they employ</w:t>
      </w:r>
    </w:p>
    <w:p>
      <w:pPr>
        <w:spacing w:after="0"/>
        <w:sectPr>
          <w:headerReference w:type="default" r:id="rId5"/>
          <w:footerReference w:type="default" r:id="rId6"/>
          <w:type w:val="continuous"/>
          <w:pgSz w:w="12240" w:h="15840"/>
          <w:pgMar w:header="729" w:footer="1017" w:top="1340" w:bottom="1200" w:left="1340" w:right="1340"/>
          <w:pgNumType w:start="1"/>
        </w:sectPr>
      </w:pPr>
    </w:p>
    <w:p>
      <w:pPr>
        <w:pStyle w:val="BodyText"/>
        <w:spacing w:before="80"/>
        <w:ind w:left="820" w:right="160"/>
      </w:pPr>
      <w:r>
        <w:rPr/>
        <w:t>about 50 people. She also just launched a new business of my own. It’s a gourmet popcorn shop called Popcorn Heaven in Waterloo, IA. We started in February and already have 10 employees. We had a woman who had been with us for 16 years. She was the one who kept everything in order, yet she was only getting paid a little more than half of what male employees were making, even though she had a lot more responsibilities. I refused to allow women to be paid less than the value we bring to our company because of our gender. So, I stuck my neck out. I called our accountant and raised the pay of our women workers without authorization. I called our accountant and raised the pay of our women workers without authorization. She says, “Offering equal pay for equal work isn’t just about doing the right thing. It has a positive impact on our business, too. It boosts our employees’ morale and their respect for the business. It also boosts retention. Cutting down on turnover saves our business money. It also saves us a lot of stress to know that we have a stable team that we can count on to get the job done.”</w:t>
      </w:r>
    </w:p>
    <w:p>
      <w:pPr>
        <w:pStyle w:val="BodyText"/>
        <w:spacing w:before="2"/>
        <w:rPr>
          <w:sz w:val="14"/>
        </w:rPr>
      </w:pPr>
    </w:p>
    <w:p>
      <w:pPr>
        <w:pStyle w:val="BodyText"/>
        <w:spacing w:before="90"/>
        <w:ind w:left="820" w:right="115"/>
      </w:pPr>
      <w:r>
        <w:rPr/>
        <w:t>According to a </w:t>
      </w:r>
      <w:r>
        <w:rPr>
          <w:shd w:fill="FFFF00" w:color="auto" w:val="clear"/>
        </w:rPr>
        <w:t>1998 excerpt in the Journal of Economic Perspectives,</w:t>
      </w:r>
      <w:r>
        <w:rPr/>
        <w:t> there is strong evidence of a "family gap" in women's earnings; a gap between women with children and those without. The consensus estimate of the family penalty is 10-15 percent. Women with children systematically are paid a lower wage than women without children after adjusting for differences in human capital attributes. On the other hand, married men (who are much more likely to have children than unmarried men) receive a wage premium. Research shows that among workers 24 to 45 years of age, women without children receive wage rates that are 81.3 percent of men's pay, while women with children receive wage rates that are only 73.4 percent of men's</w:t>
      </w:r>
      <w:r>
        <w:rPr>
          <w:spacing w:val="-8"/>
        </w:rPr>
        <w:t> </w:t>
      </w:r>
      <w:r>
        <w:rPr/>
        <w:t>pay.</w:t>
      </w:r>
    </w:p>
    <w:p>
      <w:pPr>
        <w:pStyle w:val="BodyText"/>
      </w:pPr>
    </w:p>
    <w:p>
      <w:pPr>
        <w:pStyle w:val="BodyText"/>
        <w:ind w:left="100" w:right="336"/>
      </w:pPr>
      <w:r>
        <w:rPr/>
        <w:t>Spell out Conclusion</w:t>
      </w:r>
      <w:r>
        <w:rPr>
          <w:b/>
        </w:rPr>
        <w:t>: </w:t>
      </w:r>
      <w:r>
        <w:rPr/>
        <w:t>Even though it is already illegal to discriminate against women in the workplace, evidence proves that it still happens.</w:t>
      </w:r>
    </w:p>
    <w:p>
      <w:pPr>
        <w:pStyle w:val="BodyText"/>
      </w:pPr>
    </w:p>
    <w:p>
      <w:pPr>
        <w:pStyle w:val="Heading1"/>
      </w:pPr>
      <w:r>
        <w:rPr/>
        <w:t>Transition to your second main point:</w:t>
      </w:r>
    </w:p>
    <w:p>
      <w:pPr>
        <w:pStyle w:val="BodyText"/>
        <w:ind w:left="100" w:right="539"/>
      </w:pPr>
      <w:r>
        <w:rPr/>
        <w:t>The second area we are going to look at is whether the Paycheck Fairness Act will cause government overreach and unwarranted lawsuits.</w:t>
      </w:r>
    </w:p>
    <w:p>
      <w:pPr>
        <w:pStyle w:val="BodyText"/>
      </w:pPr>
    </w:p>
    <w:p>
      <w:pPr>
        <w:pStyle w:val="BodyText"/>
        <w:ind w:left="100"/>
      </w:pPr>
      <w:r>
        <w:rPr>
          <w:b/>
        </w:rPr>
        <w:t>Main Point #2: </w:t>
      </w:r>
      <w:r>
        <w:rPr/>
        <w:t>The Paycheck Fairness Act causing government overreach and unwarranted lawsuits?</w:t>
      </w:r>
    </w:p>
    <w:p>
      <w:pPr>
        <w:pStyle w:val="BodyText"/>
      </w:pPr>
    </w:p>
    <w:p>
      <w:pPr>
        <w:pStyle w:val="BodyText"/>
        <w:ind w:left="100" w:right="739"/>
      </w:pPr>
      <w:r>
        <w:rPr/>
        <w:t>State Point You will Refute: Some argue that it’s government overreach and allowing for frivolous lawsuits</w:t>
      </w:r>
    </w:p>
    <w:p>
      <w:pPr>
        <w:pStyle w:val="BodyText"/>
      </w:pPr>
    </w:p>
    <w:p>
      <w:pPr>
        <w:pStyle w:val="BodyText"/>
        <w:ind w:left="100"/>
      </w:pPr>
      <w:r>
        <w:rPr/>
        <w:t>Tell How you will Refute it: I will show how this isn’t true and acknowledges that this is illegal and fair</w:t>
      </w:r>
    </w:p>
    <w:p>
      <w:pPr>
        <w:pStyle w:val="BodyText"/>
      </w:pPr>
    </w:p>
    <w:p>
      <w:pPr>
        <w:pStyle w:val="BodyText"/>
        <w:ind w:left="100" w:right="196"/>
      </w:pPr>
      <w:r>
        <w:rPr/>
        <w:t>Present Evidence: By admitting there may be lawsuits, they are admitting what is happening is (1) illegal and (2) currently taking place.</w:t>
      </w:r>
    </w:p>
    <w:p>
      <w:pPr>
        <w:pStyle w:val="BodyText"/>
        <w:spacing w:before="2"/>
        <w:rPr>
          <w:sz w:val="14"/>
        </w:rPr>
      </w:pPr>
    </w:p>
    <w:p>
      <w:pPr>
        <w:pStyle w:val="BodyText"/>
        <w:spacing w:before="90"/>
        <w:ind w:left="820" w:right="93"/>
      </w:pPr>
      <w:r>
        <w:rPr/>
        <w:t>According to </w:t>
      </w:r>
      <w:r>
        <w:rPr>
          <w:shd w:fill="FFFF00" w:color="auto" w:val="clear"/>
        </w:rPr>
        <w:t>Professor Deborah Eisenberg’s statement in the 2014 hearing of the Committee on</w:t>
      </w:r>
      <w:r>
        <w:rPr/>
        <w:t> </w:t>
      </w:r>
      <w:r>
        <w:rPr>
          <w:shd w:fill="FFFF00" w:color="auto" w:val="clear"/>
        </w:rPr>
        <w:t>Health, Education, Labor and Pensions,</w:t>
      </w:r>
      <w:r>
        <w:rPr/>
        <w:t> this Act does not get the government involved in wage- setting at all. The Act does not dictate to employers which factors should be used in setting pay. It merely requires that pay decisions bear some relation to the job and business. This is not only about basic fairness for employees performing the same jobs and equal opportunity for women: it is simply smart business.</w:t>
      </w:r>
    </w:p>
    <w:p>
      <w:pPr>
        <w:pStyle w:val="BodyText"/>
        <w:spacing w:before="2"/>
        <w:rPr>
          <w:sz w:val="14"/>
        </w:rPr>
      </w:pPr>
    </w:p>
    <w:p>
      <w:pPr>
        <w:pStyle w:val="BodyText"/>
        <w:spacing w:before="90"/>
        <w:ind w:left="820" w:right="106"/>
      </w:pPr>
      <w:r>
        <w:rPr/>
        <w:t>In a </w:t>
      </w:r>
      <w:r>
        <w:rPr>
          <w:shd w:fill="FFFF00" w:color="auto" w:val="clear"/>
        </w:rPr>
        <w:t>2007 Supreme Court case, </w:t>
      </w:r>
      <w:r>
        <w:rPr>
          <w:i/>
          <w:shd w:fill="FFFF00" w:color="auto" w:val="clear"/>
        </w:rPr>
        <w:t>Lilly Ledbetter v. Goodyear Tire &amp; Rubber Co.</w:t>
      </w:r>
      <w:r>
        <w:rPr>
          <w:i/>
        </w:rPr>
        <w:t> </w:t>
      </w:r>
      <w:r>
        <w:rPr/>
        <w:t>Over her nineteen- year career at Goodyear Tire, Lilly Ledbetter was consistently given low rankings in annual performance-and-salary reviews and low raises relative to other employees. Ledbetter sued Goodyear for gender discrimination in violation of Title VII of the Civil Rights Act of 1964, alleging that the company had given her a low salary because of her gender.</w:t>
      </w:r>
    </w:p>
    <w:p>
      <w:pPr>
        <w:spacing w:after="0"/>
        <w:sectPr>
          <w:footerReference w:type="default" r:id="rId7"/>
          <w:pgSz w:w="12240" w:h="15840"/>
          <w:pgMar w:footer="1017" w:header="729" w:top="1340" w:bottom="1200" w:left="1340" w:right="1340"/>
        </w:sectPr>
      </w:pPr>
    </w:p>
    <w:p>
      <w:pPr>
        <w:pStyle w:val="BodyText"/>
        <w:spacing w:before="1"/>
        <w:rPr>
          <w:sz w:val="21"/>
        </w:rPr>
      </w:pPr>
    </w:p>
    <w:p>
      <w:pPr>
        <w:pStyle w:val="BodyText"/>
        <w:spacing w:before="91"/>
        <w:ind w:left="820" w:right="127"/>
      </w:pPr>
      <w:r>
        <w:rPr/>
        <w:t>In another case, </w:t>
      </w:r>
      <w:r>
        <w:rPr>
          <w:i/>
          <w:shd w:fill="FFFF00" w:color="auto" w:val="clear"/>
        </w:rPr>
        <w:t>Victoria Barghout, et al., v. Bayer Healthcare Pharmaceuticals</w:t>
      </w:r>
      <w:r>
        <w:rPr>
          <w:i/>
        </w:rPr>
        <w:t> </w:t>
      </w:r>
      <w:r>
        <w:rPr/>
        <w:t>that took place in the United States District Court District of New Jersey in 2012. The plaintiffs were current and former female employees of Bayer. Plaintiffs allege that they have been subjected a systematic pattern and practice of gender discrimination and disparate impact gender discrimination by Bayer. Such gender discrimination is said to include: (a) paying female employees less than their male counterparts; (b) denying female employees development, promotion and advancement opportunities resulting in their relegation to lower classification and compensation levels; and (c) otherwise subjecting them to disparate treatment with respect to the terms and conditions of their employment through exposure to pregnancy discrimination, sexual harassment, and a hostile work environment with no viable avenues for</w:t>
      </w:r>
      <w:r>
        <w:rPr>
          <w:spacing w:val="-3"/>
        </w:rPr>
        <w:t> </w:t>
      </w:r>
      <w:r>
        <w:rPr/>
        <w:t>recourse.</w:t>
      </w:r>
    </w:p>
    <w:p>
      <w:pPr>
        <w:pStyle w:val="BodyText"/>
        <w:spacing w:before="1"/>
        <w:rPr>
          <w:sz w:val="14"/>
        </w:rPr>
      </w:pPr>
    </w:p>
    <w:p>
      <w:pPr>
        <w:pStyle w:val="BodyText"/>
        <w:spacing w:before="91"/>
        <w:ind w:left="820" w:right="124"/>
      </w:pPr>
      <w:r>
        <w:rPr/>
        <w:t>In 2004 another case arose, the </w:t>
      </w:r>
      <w:r>
        <w:rPr>
          <w:i/>
          <w:shd w:fill="FFFF00" w:color="auto" w:val="clear"/>
        </w:rPr>
        <w:t>EEOC and Allison Schieffelin v. Morgan Stanley &amp; Co.</w:t>
      </w:r>
      <w:r>
        <w:rPr>
          <w:i/>
        </w:rPr>
        <w:t> </w:t>
      </w:r>
      <w:r>
        <w:rPr/>
        <w:t>The case started in November 1998 when Ms. Schieffelin filed a charge against Morgan Stanley with the EEOC alleging that she was discriminated against based on her gender in promotion, compensation, and terms, conditions and privileges of employment. Ms. Schieffelin later filed supplemental charges of discrimination and retaliation, including a charge of retaliation based on Morgan Stanley’s termination of her employment in October 2000. The EEOC investigated the charges and then issued letters of determination finding discrimination against Ms. Schieffelin and other professional women worldwide in Morgan Stanley’s Institutional Equity Division (“IED”) and finding retaliation against Ms. Schieffelin. In September 2001, the EEOC and Ms. Schieffelin sued Morgan Stanley in federal court, alleging a pattern and practice of discrimination against professional women in Morgan Stanley’s IED and alleging discrimination and retaliation against Ms.</w:t>
      </w:r>
      <w:r>
        <w:rPr>
          <w:spacing w:val="-2"/>
        </w:rPr>
        <w:t> </w:t>
      </w:r>
      <w:r>
        <w:rPr/>
        <w:t>Schieffelin.</w:t>
      </w:r>
    </w:p>
    <w:p>
      <w:pPr>
        <w:pStyle w:val="BodyText"/>
      </w:pPr>
    </w:p>
    <w:p>
      <w:pPr>
        <w:pStyle w:val="BodyText"/>
        <w:ind w:left="100" w:right="489"/>
      </w:pPr>
      <w:r>
        <w:rPr/>
        <w:t>Spell out Conclusion</w:t>
      </w:r>
      <w:r>
        <w:rPr>
          <w:b/>
        </w:rPr>
        <w:t>: </w:t>
      </w:r>
      <w:r>
        <w:rPr/>
        <w:t>The Paycheck Fairness Act will not cause government overreach and hopefully lessen the “frivolous” lawsuits against businesses.</w:t>
      </w:r>
    </w:p>
    <w:p>
      <w:pPr>
        <w:pStyle w:val="BodyText"/>
      </w:pPr>
    </w:p>
    <w:p>
      <w:pPr>
        <w:pStyle w:val="Heading1"/>
      </w:pPr>
      <w:r>
        <w:rPr/>
        <w:t>Signal ending of your speech:</w:t>
      </w:r>
    </w:p>
    <w:p>
      <w:pPr>
        <w:pStyle w:val="BodyText"/>
        <w:ind w:left="100" w:right="288"/>
      </w:pPr>
      <w:r>
        <w:rPr/>
        <w:t>The Paycheck Fairness Act might have a lot of backlash but when you look at the evidence, you can see that it is only here to help us.</w:t>
      </w:r>
    </w:p>
    <w:p>
      <w:pPr>
        <w:pStyle w:val="BodyText"/>
      </w:pPr>
    </w:p>
    <w:p>
      <w:pPr>
        <w:pStyle w:val="Heading1"/>
      </w:pPr>
      <w:r>
        <w:rPr/>
        <w:t>Summary/Conclusion:</w:t>
      </w:r>
    </w:p>
    <w:p>
      <w:pPr>
        <w:pStyle w:val="BodyText"/>
        <w:ind w:left="100" w:right="147"/>
      </w:pPr>
      <w:r>
        <w:rPr/>
        <w:t>In conclusion, we looked at workplace discrimination against women and the argument that the Paycheck Fairness Act allows for frivolous lawsuits and government overreach.</w:t>
      </w:r>
    </w:p>
    <w:p>
      <w:pPr>
        <w:pStyle w:val="BodyText"/>
      </w:pPr>
    </w:p>
    <w:p>
      <w:pPr>
        <w:pStyle w:val="Heading1"/>
      </w:pPr>
      <w:r>
        <w:rPr/>
        <w:t>“Clincher”:</w:t>
      </w:r>
    </w:p>
    <w:p>
      <w:pPr>
        <w:pStyle w:val="BodyText"/>
        <w:ind w:left="100" w:right="789"/>
      </w:pPr>
      <w:r>
        <w:rPr/>
        <w:t>I hope the information presented today helps you understand the Paycheck Fairness Act better and question why it hasn’t been enacted yet.</w:t>
      </w:r>
    </w:p>
    <w:p>
      <w:pPr>
        <w:pStyle w:val="BodyText"/>
        <w:rPr>
          <w:sz w:val="24"/>
        </w:rPr>
      </w:pPr>
    </w:p>
    <w:p>
      <w:pPr>
        <w:pStyle w:val="BodyText"/>
        <w:rPr>
          <w:sz w:val="20"/>
        </w:rPr>
      </w:pPr>
    </w:p>
    <w:p>
      <w:pPr>
        <w:pStyle w:val="Heading1"/>
      </w:pPr>
      <w:r>
        <w:rPr/>
        <w:t>Bibliography:</w:t>
      </w:r>
    </w:p>
    <w:p>
      <w:pPr>
        <w:pStyle w:val="BodyText"/>
        <w:rPr>
          <w:b/>
          <w:sz w:val="24"/>
        </w:rPr>
      </w:pPr>
    </w:p>
    <w:p>
      <w:pPr>
        <w:pStyle w:val="BodyText"/>
        <w:spacing w:before="4"/>
        <w:rPr>
          <w:b/>
        </w:rPr>
      </w:pPr>
    </w:p>
    <w:p>
      <w:pPr>
        <w:spacing w:before="0"/>
        <w:ind w:left="667" w:right="238" w:hanging="567"/>
        <w:jc w:val="left"/>
        <w:rPr>
          <w:i/>
          <w:sz w:val="22"/>
        </w:rPr>
      </w:pPr>
      <w:r>
        <w:rPr>
          <w:i/>
          <w:sz w:val="22"/>
        </w:rPr>
        <w:t>Barghout, et al., v. Bayer Healthcare</w:t>
      </w:r>
      <w:r>
        <w:rPr>
          <w:sz w:val="22"/>
        </w:rPr>
        <w:t>. No. 2:33-av-00001. United States District Court for the District of New Jersey. (21 Mar. 2011) </w:t>
      </w:r>
      <w:r>
        <w:rPr>
          <w:i/>
          <w:sz w:val="22"/>
        </w:rPr>
        <w:t>Sanford Wittels &amp; Heisler, LLP.</w:t>
      </w:r>
    </w:p>
    <w:p>
      <w:pPr>
        <w:pStyle w:val="BodyText"/>
        <w:spacing w:before="4"/>
        <w:rPr>
          <w:i/>
          <w:sz w:val="24"/>
        </w:rPr>
      </w:pPr>
    </w:p>
    <w:p>
      <w:pPr>
        <w:pStyle w:val="BodyText"/>
        <w:ind w:left="820" w:right="190" w:hanging="720"/>
      </w:pPr>
      <w:r>
        <w:rPr/>
        <w:t>Darity, William A., Jr., and Patrick L. Mason. “Evidence on Discrimination in Employment: Codes of Color, Codes of Gender.” Journal of Economic Perspectives, vol. 12, no. 2, Spring 1998, pp. 63–</w:t>
      </w:r>
    </w:p>
    <w:p>
      <w:pPr>
        <w:pStyle w:val="BodyText"/>
        <w:ind w:left="820"/>
      </w:pPr>
      <w:hyperlink r:id="rId9">
        <w:r>
          <w:rPr/>
          <w:t>90. EBSCOhost, doi: http://www.aeaweb.org/jep/.</w:t>
        </w:r>
      </w:hyperlink>
    </w:p>
    <w:p>
      <w:pPr>
        <w:spacing w:after="0"/>
        <w:sectPr>
          <w:footerReference w:type="default" r:id="rId8"/>
          <w:pgSz w:w="12240" w:h="15840"/>
          <w:pgMar w:footer="1017" w:header="729" w:top="1340" w:bottom="1200" w:left="1340" w:right="1340"/>
        </w:sectPr>
      </w:pPr>
    </w:p>
    <w:p>
      <w:pPr>
        <w:spacing w:before="80"/>
        <w:ind w:left="667" w:right="109" w:hanging="567"/>
        <w:jc w:val="left"/>
        <w:rPr>
          <w:i/>
          <w:sz w:val="22"/>
        </w:rPr>
      </w:pPr>
      <w:r>
        <w:rPr>
          <w:i/>
          <w:sz w:val="22"/>
        </w:rPr>
        <w:t>EEOC and Allison Schieffelin v. Morgan Stanley &amp; Co., Inc., and Morgan Stanley Dean Witter &amp; Co. </w:t>
      </w:r>
      <w:r>
        <w:rPr>
          <w:sz w:val="22"/>
        </w:rPr>
        <w:t>No. 01-CIV-8421. United States District Court Southern District of New York. (12 July 2004) </w:t>
      </w:r>
      <w:r>
        <w:rPr>
          <w:i/>
          <w:sz w:val="22"/>
        </w:rPr>
        <w:t>Cornell </w:t>
      </w:r>
      <w:r>
        <w:rPr>
          <w:i/>
          <w:sz w:val="22"/>
        </w:rPr>
        <w:t>University ILR School.</w:t>
      </w:r>
    </w:p>
    <w:p>
      <w:pPr>
        <w:pStyle w:val="BodyText"/>
        <w:spacing w:before="4"/>
        <w:rPr>
          <w:i/>
          <w:sz w:val="24"/>
        </w:rPr>
      </w:pPr>
    </w:p>
    <w:p>
      <w:pPr>
        <w:spacing w:before="0"/>
        <w:ind w:left="667" w:right="476" w:hanging="567"/>
        <w:jc w:val="left"/>
        <w:rPr>
          <w:i/>
          <w:sz w:val="22"/>
        </w:rPr>
      </w:pPr>
      <w:r>
        <w:rPr>
          <w:i/>
          <w:sz w:val="22"/>
        </w:rPr>
        <w:t>Ledbetter v. Goodyear Tire &amp; Rubber Co., Inc. </w:t>
      </w:r>
      <w:r>
        <w:rPr>
          <w:sz w:val="22"/>
        </w:rPr>
        <w:t>No. 05-1074. Supreme Court of the United States. (29 May 2007) </w:t>
      </w:r>
      <w:r>
        <w:rPr>
          <w:i/>
          <w:sz w:val="22"/>
        </w:rPr>
        <w:t>Supreme Court</w:t>
      </w:r>
    </w:p>
    <w:p>
      <w:pPr>
        <w:pStyle w:val="BodyText"/>
        <w:spacing w:before="4"/>
        <w:rPr>
          <w:i/>
          <w:sz w:val="24"/>
        </w:rPr>
      </w:pPr>
    </w:p>
    <w:p>
      <w:pPr>
        <w:spacing w:before="0"/>
        <w:ind w:left="820" w:right="165" w:hanging="720"/>
        <w:jc w:val="left"/>
        <w:rPr>
          <w:sz w:val="22"/>
        </w:rPr>
      </w:pPr>
      <w:r>
        <w:rPr>
          <w:sz w:val="22"/>
        </w:rPr>
        <w:t>Thompson Eisenberg, Deborah, Young, ReShonda, Sleeman, Kerri. “Access to Justice: Ensuring Equal Pay with the Paycheck Fairness Act | The U.S. Senate Committee on Health, Education, Labor &amp; Pensions.” </w:t>
      </w:r>
      <w:r>
        <w:rPr>
          <w:i/>
          <w:sz w:val="22"/>
        </w:rPr>
        <w:t>Hearing | Hearings | The U.S. Senate Committee on Health, Education, Labor &amp; </w:t>
      </w:r>
      <w:r>
        <w:rPr>
          <w:i/>
          <w:sz w:val="22"/>
        </w:rPr>
        <w:t>Pensions</w:t>
      </w:r>
      <w:r>
        <w:rPr>
          <w:sz w:val="22"/>
        </w:rPr>
        <w:t>, 1 Apr. 2014, 2:45PM</w:t>
      </w:r>
    </w:p>
    <w:sectPr>
      <w:footerReference w:type="default" r:id="rId10"/>
      <w:pgSz w:w="12240" w:h="15840"/>
      <w:pgMar w:footer="1017" w:header="729" w:top="1340" w:bottom="120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5pt;margin-top:730.1698pt;width:7.5pt;height:14.2pt;mso-position-horizontal-relative:page;mso-position-vertical-relative:page;z-index:-4408" type="#_x0000_t202" filled="false" stroked="false">
          <v:textbox inset="0,0,0,0">
            <w:txbxContent>
              <w:p>
                <w:pPr>
                  <w:pStyle w:val="BodyText"/>
                  <w:spacing w:before="10"/>
                  <w:ind w:left="20"/>
                </w:pPr>
                <w:r>
                  <w:rPr/>
                  <w:t>1</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5pt;margin-top:730.1698pt;width:7.5pt;height:14.2pt;mso-position-horizontal-relative:page;mso-position-vertical-relative:page;z-index:-4384" type="#_x0000_t202" filled="false" stroked="false">
          <v:textbox inset="0,0,0,0">
            <w:txbxContent>
              <w:p>
                <w:pPr>
                  <w:pStyle w:val="BodyText"/>
                  <w:spacing w:before="10"/>
                  <w:ind w:left="20"/>
                </w:pPr>
                <w:r>
                  <w:rPr/>
                  <w:t>2</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5pt;margin-top:730.1698pt;width:7.5pt;height:14.2pt;mso-position-horizontal-relative:page;mso-position-vertical-relative:page;z-index:-4360" type="#_x0000_t202" filled="false" stroked="false">
          <v:textbox inset="0,0,0,0">
            <w:txbxContent>
              <w:p>
                <w:pPr>
                  <w:pStyle w:val="BodyText"/>
                  <w:spacing w:before="10"/>
                  <w:ind w:left="20"/>
                </w:pPr>
                <w:r>
                  <w:rPr/>
                  <w:t>3</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33.5pt;margin-top:730.1698pt;width:7.5pt;height:14.2pt;mso-position-horizontal-relative:page;mso-position-vertical-relative:page;z-index:-4336" type="#_x0000_t202" filled="false" stroked="false">
          <v:textbox inset="0,0,0,0">
            <w:txbxContent>
              <w:p>
                <w:pPr>
                  <w:pStyle w:val="BodyText"/>
                  <w:spacing w:before="10"/>
                  <w:ind w:left="20"/>
                </w:pPr>
                <w:r>
                  <w:rPr/>
                  <w:t>4</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532.5pt;margin-top:35.467754pt;width:9.5pt;height:14.2pt;mso-position-horizontal-relative:page;mso-position-vertical-relative:page;z-index:-4432" type="#_x0000_t202" filled="false" stroked="false">
          <v:textbox inset="0,0,0,0">
            <w:txbxContent>
              <w:p>
                <w:pPr>
                  <w:pStyle w:val="BodyText"/>
                  <w:spacing w:before="10"/>
                  <w:ind w:left="40"/>
                </w:pPr>
                <w:r>
                  <w:rPr/>
                  <w:fldChar w:fldCharType="begin"/>
                </w:r>
                <w:r>
                  <w:rPr/>
                  <w:instrText> PAGE </w:instrText>
                </w:r>
                <w:r>
                  <w:rPr/>
                  <w:fldChar w:fldCharType="separate"/>
                </w:r>
                <w:r>
                  <w:rPr/>
                  <w:t>1</w:t>
                </w:r>
                <w:r>
                  <w:rPr/>
                  <w:fldChar w:fldCharType="end"/>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en-us"/>
    </w:rPr>
  </w:style>
  <w:style w:styleId="Heading1" w:type="paragraph">
    <w:name w:val="Heading 1"/>
    <w:basedOn w:val="Normal"/>
    <w:uiPriority w:val="1"/>
    <w:qFormat/>
    <w:pPr>
      <w:ind w:left="100"/>
      <w:outlineLvl w:val="1"/>
    </w:pPr>
    <w:rPr>
      <w:rFonts w:ascii="Times New Roman" w:hAnsi="Times New Roman" w:eastAsia="Times New Roman" w:cs="Times New Roman"/>
      <w:b/>
      <w:bCs/>
      <w:sz w:val="22"/>
      <w:szCs w:val="22"/>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yperlink" Target="http://www.aeaweb.org/jep/" TargetMode="External"/><Relationship Id="rId1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Bangstad</dc:creator>
  <dcterms:created xsi:type="dcterms:W3CDTF">2019-04-07T20:38:46Z</dcterms:created>
  <dcterms:modified xsi:type="dcterms:W3CDTF">2019-04-07T20:38:46Z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2018-10-22T00:00:00Z</vt:filetime>
  </property>
  <property fmtid="{D5CDD505-2E9C-101B-9397-08002B2CF9AE}" pid="3" name="Creator">
    <vt:lpwstr>Aspose Ltd.</vt:lpwstr>
  </property>
  <property fmtid="{D5CDD505-2E9C-101B-9397-08002B2CF9AE}" pid="4" name="LastSaved">
    <vt:filetime>2019-04-07T00:00:00Z</vt:filetime>
  </property>
</Properties>
</file>